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2079" w14:textId="77777777" w:rsidR="00C1371E" w:rsidRPr="00C1371E" w:rsidRDefault="00C1371E" w:rsidP="00C1371E">
      <w:pPr>
        <w:pStyle w:val="af7"/>
        <w:tabs>
          <w:tab w:val="left" w:pos="28776"/>
        </w:tabs>
        <w:ind w:left="46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1371E">
        <w:rPr>
          <w:rFonts w:ascii="Times New Roman" w:hAnsi="Times New Roman" w:cs="Times New Roman"/>
          <w:b w:val="0"/>
          <w:sz w:val="24"/>
          <w:szCs w:val="24"/>
        </w:rPr>
        <w:t>«УТВЕРЖДЕНО»</w:t>
      </w:r>
    </w:p>
    <w:p w14:paraId="0CFF888B" w14:textId="78C905D2" w:rsidR="00C1371E" w:rsidRPr="00C1371E" w:rsidRDefault="00C1371E" w:rsidP="00C1371E">
      <w:pPr>
        <w:pStyle w:val="af7"/>
        <w:ind w:left="46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1371E"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«Евросибирская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саморегулируемая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организация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арбитражных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управляющих»</w:t>
      </w:r>
    </w:p>
    <w:p w14:paraId="4225F405" w14:textId="4CB7C72E" w:rsidR="00C1371E" w:rsidRPr="00C1371E" w:rsidRDefault="00C1371E" w:rsidP="00C1371E">
      <w:pPr>
        <w:pStyle w:val="af7"/>
        <w:tabs>
          <w:tab w:val="left" w:pos="28634"/>
        </w:tabs>
        <w:ind w:left="46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1371E">
        <w:rPr>
          <w:rFonts w:ascii="Times New Roman" w:hAnsi="Times New Roman" w:cs="Times New Roman"/>
          <w:b w:val="0"/>
          <w:sz w:val="24"/>
          <w:szCs w:val="24"/>
        </w:rPr>
        <w:t>Протокол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№</w:t>
      </w:r>
      <w:r w:rsidR="00BD3E55">
        <w:rPr>
          <w:rFonts w:ascii="Times New Roman" w:hAnsi="Times New Roman" w:cs="Times New Roman"/>
          <w:b w:val="0"/>
          <w:sz w:val="24"/>
          <w:szCs w:val="24"/>
        </w:rPr>
        <w:t>518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от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«</w:t>
      </w:r>
      <w:r w:rsidR="008149F1">
        <w:rPr>
          <w:rFonts w:ascii="Times New Roman" w:hAnsi="Times New Roman" w:cs="Times New Roman"/>
          <w:b w:val="0"/>
          <w:sz w:val="24"/>
          <w:szCs w:val="24"/>
        </w:rPr>
        <w:t>14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»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49F1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2022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года</w:t>
      </w:r>
    </w:p>
    <w:p w14:paraId="450F2E25" w14:textId="77777777" w:rsidR="00C1371E" w:rsidRPr="00C1371E" w:rsidRDefault="00C1371E" w:rsidP="00C1371E">
      <w:pPr>
        <w:pStyle w:val="af7"/>
        <w:tabs>
          <w:tab w:val="left" w:pos="28634"/>
        </w:tabs>
        <w:ind w:left="46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26A2279" w14:textId="77777777" w:rsidR="00C1371E" w:rsidRPr="00C1371E" w:rsidRDefault="00C1371E" w:rsidP="00C1371E">
      <w:pPr>
        <w:pStyle w:val="af7"/>
        <w:tabs>
          <w:tab w:val="left" w:pos="28634"/>
        </w:tabs>
        <w:ind w:left="46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CB95E69" w14:textId="23FFA997" w:rsidR="00C1371E" w:rsidRPr="00C1371E" w:rsidRDefault="00C1371E" w:rsidP="00C1371E">
      <w:pPr>
        <w:pStyle w:val="af7"/>
        <w:tabs>
          <w:tab w:val="left" w:pos="28634"/>
        </w:tabs>
        <w:ind w:left="46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1371E">
        <w:rPr>
          <w:rFonts w:ascii="Times New Roman" w:hAnsi="Times New Roman" w:cs="Times New Roman"/>
          <w:b w:val="0"/>
          <w:sz w:val="24"/>
          <w:szCs w:val="24"/>
        </w:rPr>
        <w:t>_________________/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Р.А.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Шуваров</w:t>
      </w:r>
      <w:r w:rsidR="002E4F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71E">
        <w:rPr>
          <w:rFonts w:ascii="Times New Roman" w:hAnsi="Times New Roman" w:cs="Times New Roman"/>
          <w:b w:val="0"/>
          <w:sz w:val="24"/>
          <w:szCs w:val="24"/>
        </w:rPr>
        <w:t>/</w:t>
      </w:r>
    </w:p>
    <w:p w14:paraId="1E67D610" w14:textId="77777777" w:rsidR="00C1371E" w:rsidRPr="00C1371E" w:rsidRDefault="00C1371E" w:rsidP="00C1371E">
      <w:pPr>
        <w:spacing w:after="0" w:line="240" w:lineRule="auto"/>
        <w:jc w:val="both"/>
        <w:rPr>
          <w:rFonts w:ascii="Times New Roman" w:hAnsi="Times New Roman" w:cs="Times New Roman"/>
          <w:b/>
          <w:lang w:val="x-none"/>
        </w:rPr>
      </w:pPr>
    </w:p>
    <w:p w14:paraId="108BD74B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CF038E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C837FA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18400B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5DD81C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389C82" w14:textId="2C8C0373" w:rsid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6D1C96" w14:textId="77777777" w:rsidR="008149F1" w:rsidRPr="00C1371E" w:rsidRDefault="008149F1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D92E79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D8AC8D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6079D6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2ECDB2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962665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4BA66A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1371E">
        <w:rPr>
          <w:rFonts w:ascii="Times New Roman" w:hAnsi="Times New Roman" w:cs="Times New Roman"/>
          <w:sz w:val="56"/>
          <w:szCs w:val="56"/>
        </w:rPr>
        <w:t>ПОЛОЖЕНИЕ</w:t>
      </w:r>
    </w:p>
    <w:p w14:paraId="603C1369" w14:textId="17B2202D" w:rsidR="00C1371E" w:rsidRPr="00C1371E" w:rsidRDefault="008149F1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149F1">
        <w:rPr>
          <w:rFonts w:ascii="Times New Roman" w:hAnsi="Times New Roman" w:cs="Times New Roman"/>
          <w:sz w:val="40"/>
          <w:szCs w:val="40"/>
        </w:rPr>
        <w:t>О</w:t>
      </w:r>
      <w:r w:rsidR="00DE0B3D">
        <w:rPr>
          <w:rFonts w:ascii="Times New Roman" w:hAnsi="Times New Roman" w:cs="Times New Roman"/>
          <w:sz w:val="40"/>
          <w:szCs w:val="40"/>
        </w:rPr>
        <w:t>Б</w:t>
      </w:r>
      <w:r w:rsidR="002E4F62">
        <w:rPr>
          <w:rFonts w:ascii="Times New Roman" w:hAnsi="Times New Roman" w:cs="Times New Roman"/>
          <w:sz w:val="40"/>
          <w:szCs w:val="40"/>
        </w:rPr>
        <w:t xml:space="preserve"> </w:t>
      </w:r>
      <w:r w:rsidRPr="008149F1">
        <w:rPr>
          <w:rFonts w:ascii="Times New Roman" w:hAnsi="Times New Roman" w:cs="Times New Roman"/>
          <w:sz w:val="40"/>
          <w:szCs w:val="40"/>
        </w:rPr>
        <w:t>ОБРАБОТКЕ</w:t>
      </w:r>
      <w:r w:rsidR="002E4F62">
        <w:rPr>
          <w:rFonts w:ascii="Times New Roman" w:hAnsi="Times New Roman" w:cs="Times New Roman"/>
          <w:sz w:val="40"/>
          <w:szCs w:val="40"/>
        </w:rPr>
        <w:t xml:space="preserve"> </w:t>
      </w:r>
      <w:r w:rsidRPr="008149F1">
        <w:rPr>
          <w:rFonts w:ascii="Times New Roman" w:hAnsi="Times New Roman" w:cs="Times New Roman"/>
          <w:sz w:val="40"/>
          <w:szCs w:val="40"/>
        </w:rPr>
        <w:t>ПЕРСОНАЛЬНЫХ</w:t>
      </w:r>
      <w:r w:rsidR="002E4F62">
        <w:rPr>
          <w:rFonts w:ascii="Times New Roman" w:hAnsi="Times New Roman" w:cs="Times New Roman"/>
          <w:sz w:val="40"/>
          <w:szCs w:val="40"/>
        </w:rPr>
        <w:t xml:space="preserve"> </w:t>
      </w:r>
      <w:r w:rsidRPr="008149F1">
        <w:rPr>
          <w:rFonts w:ascii="Times New Roman" w:hAnsi="Times New Roman" w:cs="Times New Roman"/>
          <w:sz w:val="40"/>
          <w:szCs w:val="40"/>
        </w:rPr>
        <w:t>ДАННЫХ</w:t>
      </w:r>
    </w:p>
    <w:p w14:paraId="7BC19A5A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4B6E86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DBE005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2E1BBF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EB58DC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BCCE08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38E824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2E81C0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345FF7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526FEE" w14:textId="0A8BA8A7" w:rsid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D1D5C7" w14:textId="4F02F53B" w:rsidR="008149F1" w:rsidRDefault="008149F1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86AC47" w14:textId="77777777" w:rsidR="008149F1" w:rsidRPr="00C1371E" w:rsidRDefault="008149F1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9CD833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1EF517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AD6805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7C5A9C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AD07DB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13600F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58F0E5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1E6C0B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239639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46D357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2660CA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5BD0FD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B6D6F2C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4ECF16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6B729B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7188891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3BD781" w14:textId="77777777" w:rsidR="00C1371E" w:rsidRPr="00C1371E" w:rsidRDefault="00C1371E" w:rsidP="00C1371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371E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023BF420" w14:textId="49C72583" w:rsidR="00C1371E" w:rsidRPr="00C1371E" w:rsidRDefault="00C1371E" w:rsidP="00C13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71E">
        <w:rPr>
          <w:rFonts w:ascii="Times New Roman" w:hAnsi="Times New Roman" w:cs="Times New Roman"/>
          <w:b/>
        </w:rPr>
        <w:br w:type="page"/>
      </w:r>
    </w:p>
    <w:p w14:paraId="57A14799" w14:textId="0F6A5CA0" w:rsidR="002F25C7" w:rsidRPr="008149F1" w:rsidRDefault="002F25C7" w:rsidP="00814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lastRenderedPageBreak/>
        <w:t>I.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Общие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положения</w:t>
      </w:r>
    </w:p>
    <w:p w14:paraId="722FE230" w14:textId="77777777" w:rsidR="008149F1" w:rsidRDefault="008149F1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61449EA2" w14:textId="087B781E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Настоящее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DE0B3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</w:t>
      </w:r>
      <w:bookmarkStart w:id="0" w:name="_GoBack"/>
      <w:bookmarkEnd w:id="0"/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(далее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Положение)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Евросибирской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саморегулируемой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организации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ААУ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«ЕВРОСИБ»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(далее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Ассоциация)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разработано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соответствии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несостоятельности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(банкротстве)»,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Конституцией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Российской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Федерации,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Гражданским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кодексом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Российской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Федерации,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«Об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информационных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технологиях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защите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информации»,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данных»,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Правилами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внутренн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14:paraId="208695D4" w14:textId="3FD3B1FC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разработки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определение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порядка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субъектов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подлежат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обработке,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основании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полномочий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оператора;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обеспечение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защиты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свобод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человека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гражданина,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т.ч.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числе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защиты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неприкосновенность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частной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жизни,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личную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семейную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тайну,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также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установление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ответственности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должностных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имеющих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доступ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невыполнение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требований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норм,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регулирующих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защиту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данных.</w:t>
      </w:r>
    </w:p>
    <w:p w14:paraId="662EABD9" w14:textId="15EF2674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1.3.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Порядок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ввода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действие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изменения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Положения.</w:t>
      </w:r>
    </w:p>
    <w:p w14:paraId="278388C3" w14:textId="09232892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1.3.1.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Настоящее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вступает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силу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момента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утверждения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BD3E55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Совета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действует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бессрочно,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замены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новым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Положением.</w:t>
      </w:r>
    </w:p>
    <w:p w14:paraId="7C226E03" w14:textId="10EE0FF8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1.3.2.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Внесение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изменений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дополнений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настоящее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допускается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только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решению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BD3E55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Совета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14:paraId="4FE36CBD" w14:textId="41B08229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1.4.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быть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ознакомлены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настоящим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Положением.</w:t>
      </w:r>
    </w:p>
    <w:p w14:paraId="62CF6E0B" w14:textId="654FAB38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1.5.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Режим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конфиденциальности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снимается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случаях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обезличивания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истечении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75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хранения,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продлевается,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если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иное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определено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законом.</w:t>
      </w:r>
    </w:p>
    <w:p w14:paraId="4ABD7E9A" w14:textId="0DEAC1CC" w:rsidR="002F25C7" w:rsidRPr="008149F1" w:rsidRDefault="002E4F62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14:paraId="62AEB548" w14:textId="741C7D9E" w:rsidR="002F25C7" w:rsidRPr="00BD3E55" w:rsidRDefault="002F25C7" w:rsidP="00BD3E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II.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Основные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понятия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состав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3825EB"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3825EB"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2E1789" w:rsidRPr="00BD3E55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Ассоциации</w:t>
      </w:r>
    </w:p>
    <w:p w14:paraId="76CE3871" w14:textId="77777777" w:rsidR="00BD3E55" w:rsidRDefault="00BD3E55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636D751A" w14:textId="5EFBEEC4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Для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настоящего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используются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следующие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основные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понятия:</w:t>
      </w:r>
    </w:p>
    <w:p w14:paraId="79326080" w14:textId="4B07F7B6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любая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относящаяся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определенному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определяемому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основании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такой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E1789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члену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31928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числе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фамилия,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отчество,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год,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месяц,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дата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место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рождения,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адрес,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семейное,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социальное,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имущественное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образование,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профессия,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доходы,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другая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необходимая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связи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72B3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гражданско-правовыми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отношениями;</w:t>
      </w:r>
    </w:p>
    <w:p w14:paraId="1CAD0A95" w14:textId="0339A0D1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сбор,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систематизация,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накопление,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хранение,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уточнение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(обновление,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изменение),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использование,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распространение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числе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передача),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обезличивание,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блокирование,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уничтожение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</w:p>
    <w:p w14:paraId="357BC82D" w14:textId="735C92F0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конфиденциальность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обязательное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для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соблюдения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назначенного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ответственного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лица,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получившего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доступ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требование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допускать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распространения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без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иного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законного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основания;</w:t>
      </w:r>
    </w:p>
    <w:p w14:paraId="68BB3C37" w14:textId="194D538F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распространение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действия,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направленные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передачу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определенному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кругу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(передача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данных)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ознакомление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неограниченного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круга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числе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обнародование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средствах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массовой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информации,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размещение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информационно-телекоммуникационных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сетях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предоставление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доступа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A52F9D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A52F9D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каким-либо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иным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способом;</w:t>
      </w:r>
    </w:p>
    <w:p w14:paraId="7201E9F6" w14:textId="6A51D927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использование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действия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(операции)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данными,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совершаемые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должностным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лицом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целях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принятия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решений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совершения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действий,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порождающих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юридические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последствия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отношении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либо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иным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затрагивающих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свободы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свободы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других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лиц;</w:t>
      </w:r>
    </w:p>
    <w:p w14:paraId="4E79765B" w14:textId="094B6068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блокирование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временное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прекращение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сбора,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систематизации,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накопления,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использования,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распространения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числе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передачи;</w:t>
      </w:r>
    </w:p>
    <w:p w14:paraId="24BE61CB" w14:textId="38E2BEEB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уничтожение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действия,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результате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невозможно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восстановить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содержание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информационной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системе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результате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уничтожаются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материальные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носители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72B3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72B3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</w:p>
    <w:p w14:paraId="36BA6F54" w14:textId="6DAF4332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обезличивание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действия,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результате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невозможно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определить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принадлежность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конкретному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арбитражному управляющему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</w:p>
    <w:p w14:paraId="294DC767" w14:textId="7A64DF23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общедоступные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доступ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неограниченного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круга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предоставлен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соответствии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федеральными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законами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распространяется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требование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соблюдения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конфиденциальности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; </w:t>
      </w:r>
    </w:p>
    <w:p w14:paraId="27E784C0" w14:textId="16D53D66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сведения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(сообщения,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данные)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независимо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формы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представления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; </w:t>
      </w:r>
    </w:p>
    <w:p w14:paraId="77DC746A" w14:textId="7D122294" w:rsidR="002F25C7" w:rsidRPr="0017558C" w:rsidRDefault="002F25C7" w:rsidP="001755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документированная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зафиксированная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материальном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носителе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путем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документирования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информация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реквизитами,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позволяющими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определить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такую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информацию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ее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материальный</w:t>
      </w:r>
      <w:r w:rsidR="002E4F62"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носитель.</w:t>
      </w:r>
    </w:p>
    <w:p w14:paraId="5F6B0F53" w14:textId="374666C4" w:rsidR="002F25C7" w:rsidRPr="008149F1" w:rsidRDefault="002F25C7" w:rsidP="00BE4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состав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входят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документы,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содержащие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паспортных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D450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сведениях о смене Ф.И.О.,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образовании,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отношении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воинской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обязанности,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семейном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месте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жительства,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наличии/отсутствии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судимости,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BE40A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наличии/отсутствии сведений о лице в реестре дисквалифицированных лиц,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договор</w:t>
      </w:r>
      <w:r w:rsidR="00BE40A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обязательного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страхования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BE40A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гражданской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ответственности</w:t>
      </w:r>
      <w:r w:rsidR="00BE40A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арбитражного управляющего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ИНН,</w:t>
      </w:r>
      <w:r w:rsidR="003D450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СНИЛС,</w:t>
      </w:r>
      <w:r w:rsidR="000B4ED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ЕГРИП,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прохождени</w:t>
      </w:r>
      <w:r w:rsidR="00BE40A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стажировки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качестве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помощника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D450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данных </w:t>
      </w:r>
      <w:r w:rsidR="00BE40A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трудово</w:t>
      </w:r>
      <w:r w:rsidR="003D450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й книжки </w:t>
      </w:r>
      <w:r w:rsidR="00FF0C2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и/</w:t>
      </w:r>
      <w:r w:rsidR="003D450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 стаже руководящей должности</w:t>
      </w:r>
      <w:r w:rsidR="00FF0C2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документы о повышении квалификации. </w:t>
      </w:r>
    </w:p>
    <w:p w14:paraId="2937D711" w14:textId="4628DCEE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2.3.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Комплекс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документов,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сопровождающий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процесс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оформления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72B3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гражданско-правовых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отношений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72B3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72B3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B4ED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</w:t>
      </w:r>
      <w:r w:rsidR="000B4ED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A56DE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приеме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A56DE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состав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членов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Ассоциации.</w:t>
      </w:r>
      <w:r w:rsidR="000B4ED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14:paraId="7003C01E" w14:textId="3430D354" w:rsidR="000B4ED6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2.3.1.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Информация,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представляемая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ступлении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состав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13CDA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членов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0657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иметь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документальную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форму.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заявлении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вступление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соответствии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20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Федеральный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26.10.2002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N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127-ФЗ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(ред.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28.06.2022,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изм.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21.07.2022)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"О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несостоятельности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(банкротстве)"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ступающее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Ассоциацию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предъявляет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86E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</w:t>
      </w:r>
      <w:r w:rsidR="000B4ED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пакет документов, содержащих сведения, отраженные в пункте 2.2 настоящего Положения. </w:t>
      </w:r>
    </w:p>
    <w:p w14:paraId="10C06225" w14:textId="20938017" w:rsidR="002F25C7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2.3.2.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вступлении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Ассоциацию</w:t>
      </w:r>
      <w:r w:rsidR="00652AD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формируется личное дело, а также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заполняется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унифицированная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форма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52AD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 электронном виде, где отражаются сведения, указанные в пункте 2.2 настоящего Положения.</w:t>
      </w:r>
    </w:p>
    <w:p w14:paraId="244CC210" w14:textId="049CE546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2.3.3.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создаются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хранятся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следующие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группы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документов,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содержащие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единичном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сводном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виде:</w:t>
      </w:r>
    </w:p>
    <w:p w14:paraId="2FBDA340" w14:textId="6F07F342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>2.3.3.1.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Документы,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содержащие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(комплексы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документов,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сопровождающие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процесс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оформления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72B3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гражданско-правовых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отношений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564F4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вступлении</w:t>
      </w:r>
      <w:r w:rsidR="00FF0C2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/</w:t>
      </w:r>
      <w:r w:rsidR="00FF0C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выходе</w:t>
      </w:r>
      <w:r w:rsidR="00FF0C2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из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564F4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</w:t>
      </w:r>
      <w:r w:rsidR="000E40D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;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комплекс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материалов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анкетированию,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тестированию</w:t>
      </w:r>
      <w:r w:rsidR="000E40D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;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личные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дела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FF0C2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со сведениями, </w:t>
      </w:r>
      <w:r w:rsidR="00652AD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указанны</w:t>
      </w:r>
      <w:r w:rsidR="00FF0C2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ми</w:t>
      </w:r>
      <w:r w:rsidR="00652AD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в пункте 2.2 настоящего Положения</w:t>
      </w:r>
      <w:r w:rsidR="000E40D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; материалы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плановых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внеплановых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проверок</w:t>
      </w:r>
      <w:r w:rsidR="000E40D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;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подлинники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копии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отчетных,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аналитических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справочных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материалов,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передаваемых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руководству</w:t>
      </w:r>
      <w:r w:rsidR="000E40D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E40D3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председателям</w:t>
      </w:r>
      <w:r w:rsidR="000E40D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96A9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специализированных органов </w:t>
      </w:r>
      <w:r w:rsidR="005A56DE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копии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отчетов,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направляемых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0E40D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суды,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контролирующие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государственные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органы</w:t>
      </w:r>
      <w:r w:rsidR="000E40D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другие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учреждения).</w:t>
      </w:r>
    </w:p>
    <w:p w14:paraId="192C9F83" w14:textId="15361689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2.3.3.2.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Документация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организации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работы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96A9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специализированных органов</w:t>
      </w:r>
      <w:r w:rsidR="00396A9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</w:t>
      </w:r>
      <w:r w:rsidR="00396A9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служебные записки, обращения к председателям специализированных органов</w:t>
      </w:r>
      <w:r w:rsidR="005A56DE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приказы,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распоряжения,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указания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руководства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планированию,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учету,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анализу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отчетности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части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564F4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деятельности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624A69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396A9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14:paraId="5FF02AD5" w14:textId="77777777" w:rsidR="005564F4" w:rsidRPr="008149F1" w:rsidRDefault="005564F4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1BA82574" w14:textId="1D5D5709" w:rsidR="002F25C7" w:rsidRPr="00396A99" w:rsidRDefault="002F25C7" w:rsidP="00396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III.</w:t>
      </w:r>
      <w:r w:rsidR="002E4F62"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Сбор,</w:t>
      </w:r>
      <w:r w:rsidR="002E4F62"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обработка</w:t>
      </w:r>
      <w:r w:rsidR="002E4F62"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и</w:t>
      </w:r>
      <w:r w:rsidR="002E4F62"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защита</w:t>
      </w:r>
      <w:r w:rsidR="002E4F62"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персональных</w:t>
      </w:r>
      <w:r w:rsidR="002E4F62"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396A99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данных</w:t>
      </w:r>
    </w:p>
    <w:p w14:paraId="561A239C" w14:textId="77777777" w:rsidR="00396A99" w:rsidRDefault="00396A99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1CB19CDF" w14:textId="16B26D5C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Порядок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данных.</w:t>
      </w:r>
    </w:p>
    <w:p w14:paraId="64DBE6A9" w14:textId="48C3F8C2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3.1.1.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следует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самого.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Если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возможно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получить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только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третьей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стороны,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должен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быть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уведомлен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этом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заранее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быть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письменное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согласие.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Должностное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564F4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сообщить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564F4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члену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целях,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предполагаемых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источниках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способах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также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характере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подлежащих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получению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последствиях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отказа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письменное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получение.</w:t>
      </w:r>
    </w:p>
    <w:p w14:paraId="632CBE74" w14:textId="23826AD1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3.1.2.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564F4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имеет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обрабатывать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расовой,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национальной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принадлежности,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политических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взглядах,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религиозных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философских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убеждениях,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состоянии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здоровья.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случаях,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непосредственно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связанных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вопросами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72B3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гражданско-правовых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отношений,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A6728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Ассоциация</w:t>
      </w:r>
      <w:r w:rsidR="00EA672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вправе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обрабатывать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частной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жизни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только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письменного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согласия.</w:t>
      </w:r>
    </w:p>
    <w:p w14:paraId="469358E8" w14:textId="4692DA50" w:rsidR="002F25C7" w:rsidRPr="008149F1" w:rsidRDefault="006F6D7A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и использование в деятельности Ассоциации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564F4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возможна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только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либо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без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следующих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F25C7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случаях:</w:t>
      </w:r>
    </w:p>
    <w:p w14:paraId="1DC6A449" w14:textId="1FFEC850" w:rsidR="002F25C7" w:rsidRPr="006F6D7A" w:rsidRDefault="002F25C7" w:rsidP="006F6D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являются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общедоступными;</w:t>
      </w:r>
    </w:p>
    <w:p w14:paraId="59B27B8C" w14:textId="1178CEF1" w:rsidR="002F25C7" w:rsidRPr="006F6D7A" w:rsidRDefault="002F25C7" w:rsidP="006F6D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требованию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полномочных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государственных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органов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случаях,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предусмотренных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федеральным</w:t>
      </w:r>
      <w:r w:rsidR="002E4F62"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6F6D7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законом.</w:t>
      </w:r>
    </w:p>
    <w:p w14:paraId="1ECD633A" w14:textId="64F768C4" w:rsidR="000E481F" w:rsidRDefault="002F25C7" w:rsidP="00F35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3.1.4.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Письменное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своих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0E481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оформляется </w:t>
      </w:r>
      <w:r w:rsidR="00F351F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по форме согласно Приложения 3 внутреннего Положения СРО </w:t>
      </w:r>
      <w:r w:rsidR="00F351F4" w:rsidRPr="00F351F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о порядке приема в члены ассоциации и прекращения членства </w:t>
      </w:r>
      <w:r w:rsidR="00F351F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СРО. </w:t>
      </w:r>
    </w:p>
    <w:p w14:paraId="3EDA6623" w14:textId="794448FB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3.1.5.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требуется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следующих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случаях:</w:t>
      </w:r>
    </w:p>
    <w:p w14:paraId="5B8D12B2" w14:textId="382ABEF9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1)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осуществляется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основании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Гражданского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кодекса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РФ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устанавливающего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цель,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условия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круг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субъектов,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подлежат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обработке,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также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определяющего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полномочия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</w:p>
    <w:p w14:paraId="4E132987" w14:textId="06652981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2)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осуществляется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исполнения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bookmarkStart w:id="1" w:name="_Hlk113441455"/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некоммерческих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организациях»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№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7-ФЗ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12.01.1996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г.,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саморегулируемых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организациях»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№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315-ФЗ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01.12.2007г.,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несостоятельности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(банкротстве)»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№127-ФЗ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26.10.2002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г.,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внесении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изменений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отдельные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законодательные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акты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Российской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вопросам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обеспечения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информационной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открытости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саморегулируемых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организаций»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№113-ФЗ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07.06.2013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года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учетом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изменений</w:t>
      </w:r>
      <w:bookmarkEnd w:id="1"/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</w:p>
    <w:p w14:paraId="02E6D10C" w14:textId="36928B3E" w:rsidR="00454574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3)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осуществляется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для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статистических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научных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условии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обязательного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обезличивания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45457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</w:p>
    <w:p w14:paraId="3554F9D8" w14:textId="2EF49CEC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>3.2.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Порядок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передачи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хранения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данных.</w:t>
      </w:r>
    </w:p>
    <w:p w14:paraId="1801AC69" w14:textId="4798ED17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3.2.1.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45457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Кандидат, в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ступающий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Ассоциацию</w:t>
      </w:r>
      <w:r w:rsidR="0045457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предоставляет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достоверные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сведения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себе.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Должностное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проверяет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достоверность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сведений,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сверяя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предоставленные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вступающим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имеющимися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806AA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вступающего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документами.</w:t>
      </w:r>
    </w:p>
    <w:p w14:paraId="134002ED" w14:textId="1D741F7E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3.2.2.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45457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5A56DE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тветственные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сотрудники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A56DE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5A56DE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соблюдать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следующие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требования:</w:t>
      </w:r>
      <w:r w:rsidR="0045457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14:paraId="19BCFC37" w14:textId="4795F2DC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3.2.2.1.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может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осуществляться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исключительно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обеспечения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соблюдения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нормативных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правовых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актов,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содействия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арбитражному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управляющему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профессиональной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деятельности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обучении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продвижении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профессиональной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деятельности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обеспечения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личной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безопасности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контроля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качества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исполнения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своих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обязанностей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делах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банкротстве.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14:paraId="022493B7" w14:textId="2696A90E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3.2.2.2.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определении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объема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содержания,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обрабатываемых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руководствоваться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Конституцией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Российской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Федерации,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Гражданским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кодексом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Российской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некоммерческих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организациях»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№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7-ФЗ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12.01.1996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г.,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саморегулируемых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организациях»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№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315-ФЗ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01.12.2007г.,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несостоятельности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(банкротстве)»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№127-ФЗ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26.10.2002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г.,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внесении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изменений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отдельные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законодательные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акты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Российской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вопросам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обеспечения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информационной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открытости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саморегулируемых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организаций»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№113-ФЗ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07.06.2013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года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учетом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изменений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14:paraId="19DF3A1D" w14:textId="1151CE85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3.2.2.</w:t>
      </w:r>
      <w:r w:rsidR="00BA402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быть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ознакомлены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документами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32D18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устанавливающими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порядок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также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правах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обязанностях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этой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области.</w:t>
      </w:r>
    </w:p>
    <w:p w14:paraId="23C5231C" w14:textId="00394188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3.2.2.</w:t>
      </w:r>
      <w:r w:rsidR="00BA402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всех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случаях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отказ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своих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сохранение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защиту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тайны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недействителен.</w:t>
      </w:r>
    </w:p>
    <w:p w14:paraId="5CE0A1F7" w14:textId="26F8742D" w:rsidR="002F25C7" w:rsidRPr="008149F1" w:rsidRDefault="002E4F62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14:paraId="30B274CC" w14:textId="1E74DAAF" w:rsidR="002F25C7" w:rsidRPr="00BA4023" w:rsidRDefault="002F25C7" w:rsidP="00BA4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IV.</w:t>
      </w:r>
      <w:r w:rsidR="002E4F62"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Передача</w:t>
      </w:r>
      <w:r w:rsidR="002E4F62"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и</w:t>
      </w:r>
      <w:r w:rsidR="002E4F62"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хранение</w:t>
      </w:r>
      <w:r w:rsidR="002E4F62"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персональных</w:t>
      </w:r>
      <w:r w:rsidR="002E4F62"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BA4023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данных</w:t>
      </w:r>
    </w:p>
    <w:p w14:paraId="1D0144AE" w14:textId="77777777" w:rsidR="0017558C" w:rsidRDefault="0017558C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49377772" w14:textId="00B78F4E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передаче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соблюдать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следующие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требования:</w:t>
      </w:r>
    </w:p>
    <w:p w14:paraId="6FEE393C" w14:textId="62FCDB13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4.1.1.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сообщать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третьей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стороне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без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письменного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исключением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случаев,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когда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это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необходимо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предупреждения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угрозы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жизни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здоровью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также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случаях,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установленных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законом.</w:t>
      </w:r>
    </w:p>
    <w:p w14:paraId="2116B76C" w14:textId="562013A5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4.1.2.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сообщать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коммерческих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без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письменного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согласия.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продвижения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услуг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рынке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путем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осуществления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прямых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контактов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потенциальным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потребителем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помощью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средств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связи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допускается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только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предварительного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согласия.</w:t>
      </w:r>
    </w:p>
    <w:p w14:paraId="7F877130" w14:textId="5A678090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4.1.3.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Предупредить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получивших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том,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что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эти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могут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быть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использованы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лишь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целях,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для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они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сообщены,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требовать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этих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подтверждения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того,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что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это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правило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соблюдено.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Лица,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получившие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обязаны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соблюдать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режим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секретности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(конфиденциальности).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</w:t>
      </w:r>
      <w:r w:rsidR="00293395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ый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293395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пункт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распространяется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обмен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порядке,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установленном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федеральными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законами.</w:t>
      </w:r>
    </w:p>
    <w:p w14:paraId="0A0E3F2B" w14:textId="71BCD6F5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4.1.4.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Осуществлять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передачу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пределах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F73A9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соответствии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настоящим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Положением.</w:t>
      </w:r>
    </w:p>
    <w:p w14:paraId="5F9A0A7E" w14:textId="407B83E9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4.1.5.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Разрешать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доступ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только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специально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уполномоченным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лицам,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этом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указанные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должны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иметь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>получать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только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необходимы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для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выполнения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конкретной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функции.</w:t>
      </w:r>
    </w:p>
    <w:p w14:paraId="3391749E" w14:textId="15BB9B02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4.1.6.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запрашивать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состоянии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здоровья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исключением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тех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сведений,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относятся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вопросу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возможности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выполнения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членом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профессиональной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C5794F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деятельности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14:paraId="4CA7F294" w14:textId="266AA0BD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Хранение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использование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:</w:t>
      </w:r>
    </w:p>
    <w:p w14:paraId="6211E5EA" w14:textId="661D681D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4.2.1.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обрабатываются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хранятся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14:paraId="63AE2D27" w14:textId="2ED16EE7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4.2.2.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могут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быть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получены,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проходить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дальнейшую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передаваться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хранение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как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бумажных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носителях,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электронном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виде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локальной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компьютерной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сети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компьютерной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программе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«1С».</w:t>
      </w:r>
    </w:p>
    <w:p w14:paraId="51EA741E" w14:textId="0A21656C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2A757672" w14:textId="0A93D83E" w:rsidR="007A480C" w:rsidRPr="00472B8D" w:rsidRDefault="002F25C7" w:rsidP="00472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V.</w:t>
      </w:r>
      <w:r w:rsidR="002E4F62"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Доступ</w:t>
      </w:r>
      <w:r w:rsidR="002E4F62"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к</w:t>
      </w:r>
      <w:r w:rsidR="002E4F62"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персональным</w:t>
      </w:r>
      <w:r w:rsidR="002E4F62"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данным</w:t>
      </w:r>
      <w:r w:rsidR="002E4F62"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7A480C"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арбитражных</w:t>
      </w:r>
      <w:r w:rsidR="002E4F62"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7A480C" w:rsidRPr="00472B8D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управляющих</w:t>
      </w:r>
    </w:p>
    <w:p w14:paraId="36740DD9" w14:textId="77777777" w:rsidR="00472B8D" w:rsidRDefault="00472B8D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65EC9198" w14:textId="5B05DB4E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доступа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имеют:</w:t>
      </w:r>
      <w:r w:rsidR="00472B8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Председатель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472B8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 ч</w:t>
      </w:r>
      <w:r w:rsidR="00F73A9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лены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F73A9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Совета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F73A9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</w:t>
      </w:r>
      <w:r w:rsidR="00472B8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 р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уководитель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472B8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ппарата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</w:t>
      </w:r>
      <w:r w:rsidR="00472B8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 председатели и ч</w:t>
      </w:r>
      <w:r w:rsidR="00F73A9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лены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472B8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специализированных органов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F73A9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</w:t>
      </w:r>
      <w:r w:rsidR="00472B8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</w:p>
    <w:p w14:paraId="3F9A73D2" w14:textId="6A6AA3EA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Член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F73A9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имеет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право:</w:t>
      </w:r>
    </w:p>
    <w:p w14:paraId="235A25F1" w14:textId="0594C792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5.2.1.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доступ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своим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ознакомление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ними,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включая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право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безвозмездное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копий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любой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записи,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содержащей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  <w:r w:rsid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14:paraId="546E628B" w14:textId="3BAACBC6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5.2.2.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Требовать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уточнения,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исключения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исправления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неполных,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неверных,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устаревших,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недостоверных,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незаконно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являющих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необходимыми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для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данных.</w:t>
      </w:r>
    </w:p>
    <w:p w14:paraId="29C76017" w14:textId="24837708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5.2.3.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Ассоциации: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14:paraId="60BE13EB" w14:textId="11852016" w:rsidR="002F25C7" w:rsidRPr="009A038E" w:rsidRDefault="002F25C7" w:rsidP="009A038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сведения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лицах,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которые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имеют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доступ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персональным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данным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которым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может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быть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предоставлен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такой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доступ;</w:t>
      </w:r>
    </w:p>
    <w:p w14:paraId="770EF5BC" w14:textId="396D3616" w:rsidR="002F25C7" w:rsidRPr="009A038E" w:rsidRDefault="002F25C7" w:rsidP="009A038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перечень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обрабатываемых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источник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получения;</w:t>
      </w:r>
    </w:p>
    <w:p w14:paraId="13F6258F" w14:textId="561FFFD2" w:rsidR="002F25C7" w:rsidRPr="009A038E" w:rsidRDefault="002F25C7" w:rsidP="009A038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сроки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обработки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данных,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том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числе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сроки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их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хранения;</w:t>
      </w:r>
    </w:p>
    <w:p w14:paraId="650BA6F4" w14:textId="0C5DF450" w:rsidR="002F25C7" w:rsidRPr="009A038E" w:rsidRDefault="002F25C7" w:rsidP="009A038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сведения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том,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какие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юридические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последствия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для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субъекта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может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повлечь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собой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обработка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его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данных.</w:t>
      </w:r>
    </w:p>
    <w:p w14:paraId="0B10CDD6" w14:textId="66D73C73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5.2.</w:t>
      </w:r>
      <w:r w:rsidR="00A52F9D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Требовать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извещения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всех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лиц,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которым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ранее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были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сообщены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неверные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неполные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данные,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всех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произведенных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исключениях,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исправлениях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дополнениях.</w:t>
      </w:r>
    </w:p>
    <w:p w14:paraId="2D51174A" w14:textId="55433B9B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5.3.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Копировать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делать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выписки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3825E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разрешается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исключительно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служебных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целях.</w:t>
      </w:r>
    </w:p>
    <w:p w14:paraId="1AF737CB" w14:textId="702B3BC9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5.4.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Передача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информации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третьей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стороне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возможна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только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письменном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7A480C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управляющих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14:paraId="19242C48" w14:textId="5F13F252" w:rsidR="002F25C7" w:rsidRPr="008149F1" w:rsidRDefault="002E4F62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14:paraId="1BC38F37" w14:textId="4A8774DF" w:rsidR="002F25C7" w:rsidRPr="009A038E" w:rsidRDefault="002F25C7" w:rsidP="009A03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VI.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Ответственность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за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нарушение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норм,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регулирующих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обработку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и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защиту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персональных</w:t>
      </w:r>
      <w:r w:rsidR="002E4F62"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A038E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данных</w:t>
      </w:r>
    </w:p>
    <w:p w14:paraId="701C80E0" w14:textId="77777777" w:rsidR="009A038E" w:rsidRDefault="009A038E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3859E847" w14:textId="11A33E34" w:rsidR="002F25C7" w:rsidRPr="008149F1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6.1.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A52F9D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Члены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F73A9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виновные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нарушении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норм,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регулирующих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получение,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защиту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несут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дисциплинарную</w:t>
      </w:r>
      <w:r w:rsidR="00A67391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административную,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гражданско-правовую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или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уголовную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ответственность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соответствии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федеральными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законами.</w:t>
      </w:r>
    </w:p>
    <w:p w14:paraId="156827C3" w14:textId="77777777" w:rsidR="0017558C" w:rsidRDefault="002F25C7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6.2.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Руководитель Аппарата </w:t>
      </w:r>
      <w:r w:rsidR="00F73A9B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Ассоциации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нарушение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норм,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регулирующих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получение,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обработку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защиту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персональных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данных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A52F9D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арбитражного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A52F9D"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управляющего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несет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административную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ответственность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согласно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законодательства Р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оссийской</w:t>
      </w:r>
      <w:r w:rsidR="002E4F6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8149F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Федерации</w:t>
      </w:r>
      <w:r w:rsidR="0017558C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</w:p>
    <w:p w14:paraId="2665662A" w14:textId="0E59CF0A" w:rsidR="00D937F3" w:rsidRPr="008149F1" w:rsidRDefault="002E4F62" w:rsidP="00C94E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</w:t>
      </w:r>
    </w:p>
    <w:sectPr w:rsidR="00D937F3" w:rsidRPr="008149F1" w:rsidSect="0017558C">
      <w:pgSz w:w="11906" w:h="16838"/>
      <w:pgMar w:top="851" w:right="72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E5F"/>
    <w:multiLevelType w:val="hybridMultilevel"/>
    <w:tmpl w:val="5908ECF4"/>
    <w:lvl w:ilvl="0" w:tplc="0EBC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837154"/>
    <w:multiLevelType w:val="hybridMultilevel"/>
    <w:tmpl w:val="DBB8C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1F6260"/>
    <w:multiLevelType w:val="hybridMultilevel"/>
    <w:tmpl w:val="AA2A9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C901EC"/>
    <w:multiLevelType w:val="hybridMultilevel"/>
    <w:tmpl w:val="E92CC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DF3F6E"/>
    <w:multiLevelType w:val="hybridMultilevel"/>
    <w:tmpl w:val="5FE2D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52"/>
    <w:rsid w:val="00000FB4"/>
    <w:rsid w:val="00006010"/>
    <w:rsid w:val="00006571"/>
    <w:rsid w:val="00007B20"/>
    <w:rsid w:val="00012C4F"/>
    <w:rsid w:val="00015D4F"/>
    <w:rsid w:val="0001675A"/>
    <w:rsid w:val="00025866"/>
    <w:rsid w:val="00045833"/>
    <w:rsid w:val="00060F4E"/>
    <w:rsid w:val="00061FAC"/>
    <w:rsid w:val="00066E35"/>
    <w:rsid w:val="00074AE5"/>
    <w:rsid w:val="00075F5D"/>
    <w:rsid w:val="00090743"/>
    <w:rsid w:val="00092D8B"/>
    <w:rsid w:val="000A05E1"/>
    <w:rsid w:val="000A441F"/>
    <w:rsid w:val="000B0387"/>
    <w:rsid w:val="000B4ED6"/>
    <w:rsid w:val="000B71C2"/>
    <w:rsid w:val="000C0D43"/>
    <w:rsid w:val="000C1216"/>
    <w:rsid w:val="000C54C1"/>
    <w:rsid w:val="000D3FBF"/>
    <w:rsid w:val="000D455C"/>
    <w:rsid w:val="000D5673"/>
    <w:rsid w:val="000D670E"/>
    <w:rsid w:val="000E1AB7"/>
    <w:rsid w:val="000E40D3"/>
    <w:rsid w:val="000E481F"/>
    <w:rsid w:val="000E7448"/>
    <w:rsid w:val="000F1770"/>
    <w:rsid w:val="0010255B"/>
    <w:rsid w:val="00105106"/>
    <w:rsid w:val="0010639C"/>
    <w:rsid w:val="001214DB"/>
    <w:rsid w:val="00134BF3"/>
    <w:rsid w:val="001450FD"/>
    <w:rsid w:val="00145DEC"/>
    <w:rsid w:val="00145EE4"/>
    <w:rsid w:val="00152AAA"/>
    <w:rsid w:val="001561E1"/>
    <w:rsid w:val="00162499"/>
    <w:rsid w:val="001649B6"/>
    <w:rsid w:val="001653D9"/>
    <w:rsid w:val="0016646B"/>
    <w:rsid w:val="00171D14"/>
    <w:rsid w:val="00172861"/>
    <w:rsid w:val="00172955"/>
    <w:rsid w:val="0017558C"/>
    <w:rsid w:val="00182BF4"/>
    <w:rsid w:val="0019519D"/>
    <w:rsid w:val="001A6F86"/>
    <w:rsid w:val="001B142C"/>
    <w:rsid w:val="001B5599"/>
    <w:rsid w:val="001B5B79"/>
    <w:rsid w:val="001D05B8"/>
    <w:rsid w:val="001D4384"/>
    <w:rsid w:val="00200B37"/>
    <w:rsid w:val="0022390C"/>
    <w:rsid w:val="00226365"/>
    <w:rsid w:val="00231839"/>
    <w:rsid w:val="0023372C"/>
    <w:rsid w:val="00254850"/>
    <w:rsid w:val="00261BAC"/>
    <w:rsid w:val="002657BB"/>
    <w:rsid w:val="002669E4"/>
    <w:rsid w:val="00270152"/>
    <w:rsid w:val="00271CE0"/>
    <w:rsid w:val="00285ACB"/>
    <w:rsid w:val="0029133C"/>
    <w:rsid w:val="00293395"/>
    <w:rsid w:val="002936F3"/>
    <w:rsid w:val="00297AE6"/>
    <w:rsid w:val="002B27E0"/>
    <w:rsid w:val="002B633D"/>
    <w:rsid w:val="002B7897"/>
    <w:rsid w:val="002D6ECD"/>
    <w:rsid w:val="002E1789"/>
    <w:rsid w:val="002E1C2D"/>
    <w:rsid w:val="002E4F62"/>
    <w:rsid w:val="002E6341"/>
    <w:rsid w:val="002F25C7"/>
    <w:rsid w:val="002F690B"/>
    <w:rsid w:val="003034AA"/>
    <w:rsid w:val="0030526A"/>
    <w:rsid w:val="0030640E"/>
    <w:rsid w:val="00306DDC"/>
    <w:rsid w:val="00313CDA"/>
    <w:rsid w:val="0031501C"/>
    <w:rsid w:val="003302AC"/>
    <w:rsid w:val="00331928"/>
    <w:rsid w:val="0033223A"/>
    <w:rsid w:val="0033340C"/>
    <w:rsid w:val="003362BB"/>
    <w:rsid w:val="00344111"/>
    <w:rsid w:val="00346390"/>
    <w:rsid w:val="00346448"/>
    <w:rsid w:val="003511E6"/>
    <w:rsid w:val="00354ABA"/>
    <w:rsid w:val="00364524"/>
    <w:rsid w:val="00367A74"/>
    <w:rsid w:val="00371467"/>
    <w:rsid w:val="0037671D"/>
    <w:rsid w:val="003825EB"/>
    <w:rsid w:val="003830D0"/>
    <w:rsid w:val="00394E83"/>
    <w:rsid w:val="00395A6A"/>
    <w:rsid w:val="00396A99"/>
    <w:rsid w:val="003A3801"/>
    <w:rsid w:val="003A6154"/>
    <w:rsid w:val="003C5A28"/>
    <w:rsid w:val="003D0E34"/>
    <w:rsid w:val="003D1E29"/>
    <w:rsid w:val="003D4502"/>
    <w:rsid w:val="003E27CE"/>
    <w:rsid w:val="003E4663"/>
    <w:rsid w:val="003E5339"/>
    <w:rsid w:val="003F2351"/>
    <w:rsid w:val="0040115F"/>
    <w:rsid w:val="00403F67"/>
    <w:rsid w:val="004138B4"/>
    <w:rsid w:val="004211D7"/>
    <w:rsid w:val="00421ECD"/>
    <w:rsid w:val="0043046F"/>
    <w:rsid w:val="00454574"/>
    <w:rsid w:val="004666E0"/>
    <w:rsid w:val="00472B8D"/>
    <w:rsid w:val="00477E55"/>
    <w:rsid w:val="004830AD"/>
    <w:rsid w:val="00487AE7"/>
    <w:rsid w:val="00491C37"/>
    <w:rsid w:val="004930E1"/>
    <w:rsid w:val="00494BB1"/>
    <w:rsid w:val="004A2129"/>
    <w:rsid w:val="004A3B6D"/>
    <w:rsid w:val="004A6409"/>
    <w:rsid w:val="004A7AF4"/>
    <w:rsid w:val="004B275A"/>
    <w:rsid w:val="004B48BD"/>
    <w:rsid w:val="004C191E"/>
    <w:rsid w:val="004C3612"/>
    <w:rsid w:val="004D4CC6"/>
    <w:rsid w:val="004D5EF1"/>
    <w:rsid w:val="004E4834"/>
    <w:rsid w:val="00511B90"/>
    <w:rsid w:val="00515391"/>
    <w:rsid w:val="0051767F"/>
    <w:rsid w:val="00521957"/>
    <w:rsid w:val="0052277E"/>
    <w:rsid w:val="00522D5B"/>
    <w:rsid w:val="00523332"/>
    <w:rsid w:val="0052696E"/>
    <w:rsid w:val="005564F4"/>
    <w:rsid w:val="005620C0"/>
    <w:rsid w:val="00563782"/>
    <w:rsid w:val="00577DA4"/>
    <w:rsid w:val="00584410"/>
    <w:rsid w:val="0058504E"/>
    <w:rsid w:val="00593531"/>
    <w:rsid w:val="0059447A"/>
    <w:rsid w:val="005A54DC"/>
    <w:rsid w:val="005A56DE"/>
    <w:rsid w:val="005B63CF"/>
    <w:rsid w:val="005C41F2"/>
    <w:rsid w:val="005C7DE1"/>
    <w:rsid w:val="005D0EC6"/>
    <w:rsid w:val="005D637F"/>
    <w:rsid w:val="005D63A1"/>
    <w:rsid w:val="005D7982"/>
    <w:rsid w:val="005D7999"/>
    <w:rsid w:val="006059D7"/>
    <w:rsid w:val="00624A69"/>
    <w:rsid w:val="00625FE8"/>
    <w:rsid w:val="006316FA"/>
    <w:rsid w:val="00634B27"/>
    <w:rsid w:val="006375A6"/>
    <w:rsid w:val="00643FEA"/>
    <w:rsid w:val="00652ADC"/>
    <w:rsid w:val="00654A67"/>
    <w:rsid w:val="006671F6"/>
    <w:rsid w:val="00677DFE"/>
    <w:rsid w:val="006802C5"/>
    <w:rsid w:val="00680487"/>
    <w:rsid w:val="00686834"/>
    <w:rsid w:val="006873AD"/>
    <w:rsid w:val="006A2228"/>
    <w:rsid w:val="006A7344"/>
    <w:rsid w:val="006B1675"/>
    <w:rsid w:val="006B1B41"/>
    <w:rsid w:val="006B1EC8"/>
    <w:rsid w:val="006B2BB7"/>
    <w:rsid w:val="006C4567"/>
    <w:rsid w:val="006D4528"/>
    <w:rsid w:val="006D7DF1"/>
    <w:rsid w:val="006F260A"/>
    <w:rsid w:val="006F6D7A"/>
    <w:rsid w:val="00703BF6"/>
    <w:rsid w:val="007170F1"/>
    <w:rsid w:val="007216E2"/>
    <w:rsid w:val="0072711A"/>
    <w:rsid w:val="00730CE2"/>
    <w:rsid w:val="00732D18"/>
    <w:rsid w:val="00736A69"/>
    <w:rsid w:val="00740D30"/>
    <w:rsid w:val="00743E6F"/>
    <w:rsid w:val="00753015"/>
    <w:rsid w:val="00754E5E"/>
    <w:rsid w:val="00771C2A"/>
    <w:rsid w:val="007755F5"/>
    <w:rsid w:val="00781EB7"/>
    <w:rsid w:val="007866C0"/>
    <w:rsid w:val="0078756A"/>
    <w:rsid w:val="00790863"/>
    <w:rsid w:val="00790A3F"/>
    <w:rsid w:val="007A0D44"/>
    <w:rsid w:val="007A4508"/>
    <w:rsid w:val="007A480C"/>
    <w:rsid w:val="007A7802"/>
    <w:rsid w:val="007C3649"/>
    <w:rsid w:val="007D1166"/>
    <w:rsid w:val="007D1B4B"/>
    <w:rsid w:val="007E146B"/>
    <w:rsid w:val="007F7339"/>
    <w:rsid w:val="008052EE"/>
    <w:rsid w:val="00806AA8"/>
    <w:rsid w:val="008149F1"/>
    <w:rsid w:val="008270FB"/>
    <w:rsid w:val="00827AC2"/>
    <w:rsid w:val="00831172"/>
    <w:rsid w:val="008351F2"/>
    <w:rsid w:val="00835D16"/>
    <w:rsid w:val="0083611E"/>
    <w:rsid w:val="00840530"/>
    <w:rsid w:val="008415FF"/>
    <w:rsid w:val="008436A3"/>
    <w:rsid w:val="00845B26"/>
    <w:rsid w:val="0084620F"/>
    <w:rsid w:val="0085272F"/>
    <w:rsid w:val="00852B15"/>
    <w:rsid w:val="00865726"/>
    <w:rsid w:val="00871A77"/>
    <w:rsid w:val="00875403"/>
    <w:rsid w:val="008A1F48"/>
    <w:rsid w:val="008A5138"/>
    <w:rsid w:val="008B15D3"/>
    <w:rsid w:val="008B4400"/>
    <w:rsid w:val="008B72C8"/>
    <w:rsid w:val="008D0685"/>
    <w:rsid w:val="008D24ED"/>
    <w:rsid w:val="008E7CC4"/>
    <w:rsid w:val="00900433"/>
    <w:rsid w:val="00913E6D"/>
    <w:rsid w:val="00914F8E"/>
    <w:rsid w:val="009157EB"/>
    <w:rsid w:val="00916DB4"/>
    <w:rsid w:val="00921E93"/>
    <w:rsid w:val="009258B1"/>
    <w:rsid w:val="00942837"/>
    <w:rsid w:val="00951928"/>
    <w:rsid w:val="00953405"/>
    <w:rsid w:val="00954A46"/>
    <w:rsid w:val="009573CB"/>
    <w:rsid w:val="0096152F"/>
    <w:rsid w:val="00962A16"/>
    <w:rsid w:val="009653E1"/>
    <w:rsid w:val="009720F4"/>
    <w:rsid w:val="0097614C"/>
    <w:rsid w:val="00980490"/>
    <w:rsid w:val="00982E67"/>
    <w:rsid w:val="00985289"/>
    <w:rsid w:val="00986E28"/>
    <w:rsid w:val="009875B7"/>
    <w:rsid w:val="00990EA6"/>
    <w:rsid w:val="00992B4F"/>
    <w:rsid w:val="009A038E"/>
    <w:rsid w:val="009A11E4"/>
    <w:rsid w:val="009C3255"/>
    <w:rsid w:val="009C653F"/>
    <w:rsid w:val="009C6CFC"/>
    <w:rsid w:val="009D2178"/>
    <w:rsid w:val="009E0B8F"/>
    <w:rsid w:val="009E4276"/>
    <w:rsid w:val="00A0140F"/>
    <w:rsid w:val="00A1022A"/>
    <w:rsid w:val="00A120CD"/>
    <w:rsid w:val="00A13AC8"/>
    <w:rsid w:val="00A20009"/>
    <w:rsid w:val="00A21505"/>
    <w:rsid w:val="00A31954"/>
    <w:rsid w:val="00A328EB"/>
    <w:rsid w:val="00A37421"/>
    <w:rsid w:val="00A45AB1"/>
    <w:rsid w:val="00A479F3"/>
    <w:rsid w:val="00A47B78"/>
    <w:rsid w:val="00A52F9D"/>
    <w:rsid w:val="00A537D0"/>
    <w:rsid w:val="00A54CF1"/>
    <w:rsid w:val="00A6614D"/>
    <w:rsid w:val="00A67391"/>
    <w:rsid w:val="00A7300D"/>
    <w:rsid w:val="00A90379"/>
    <w:rsid w:val="00A94193"/>
    <w:rsid w:val="00AA0F16"/>
    <w:rsid w:val="00AA5D7F"/>
    <w:rsid w:val="00AA7F2B"/>
    <w:rsid w:val="00AB05A5"/>
    <w:rsid w:val="00AC3FCF"/>
    <w:rsid w:val="00AC5402"/>
    <w:rsid w:val="00AC77BF"/>
    <w:rsid w:val="00AD2A8D"/>
    <w:rsid w:val="00AD51B0"/>
    <w:rsid w:val="00AE0E4C"/>
    <w:rsid w:val="00AE4AD1"/>
    <w:rsid w:val="00AE745C"/>
    <w:rsid w:val="00AF10B1"/>
    <w:rsid w:val="00AF4F73"/>
    <w:rsid w:val="00AF7506"/>
    <w:rsid w:val="00B01ACE"/>
    <w:rsid w:val="00B052E0"/>
    <w:rsid w:val="00B0723D"/>
    <w:rsid w:val="00B11BD0"/>
    <w:rsid w:val="00B3440A"/>
    <w:rsid w:val="00B41762"/>
    <w:rsid w:val="00B63349"/>
    <w:rsid w:val="00B64763"/>
    <w:rsid w:val="00B66651"/>
    <w:rsid w:val="00B678CE"/>
    <w:rsid w:val="00B76718"/>
    <w:rsid w:val="00B77B10"/>
    <w:rsid w:val="00B91246"/>
    <w:rsid w:val="00BA2D28"/>
    <w:rsid w:val="00BA4023"/>
    <w:rsid w:val="00BC4666"/>
    <w:rsid w:val="00BD3E55"/>
    <w:rsid w:val="00BD5CDA"/>
    <w:rsid w:val="00BE40A1"/>
    <w:rsid w:val="00BE4E1B"/>
    <w:rsid w:val="00BE6C2D"/>
    <w:rsid w:val="00BF35BB"/>
    <w:rsid w:val="00BF45F2"/>
    <w:rsid w:val="00C067B6"/>
    <w:rsid w:val="00C1371E"/>
    <w:rsid w:val="00C17D0E"/>
    <w:rsid w:val="00C2042D"/>
    <w:rsid w:val="00C21975"/>
    <w:rsid w:val="00C30938"/>
    <w:rsid w:val="00C31426"/>
    <w:rsid w:val="00C36F7C"/>
    <w:rsid w:val="00C546A9"/>
    <w:rsid w:val="00C54EBB"/>
    <w:rsid w:val="00C554B2"/>
    <w:rsid w:val="00C5794F"/>
    <w:rsid w:val="00C63DA2"/>
    <w:rsid w:val="00C74F3B"/>
    <w:rsid w:val="00C85F8D"/>
    <w:rsid w:val="00C86FAE"/>
    <w:rsid w:val="00C94EF7"/>
    <w:rsid w:val="00CA0444"/>
    <w:rsid w:val="00CA367A"/>
    <w:rsid w:val="00CB144F"/>
    <w:rsid w:val="00CB3054"/>
    <w:rsid w:val="00CC2C1F"/>
    <w:rsid w:val="00CF1043"/>
    <w:rsid w:val="00CF6AF3"/>
    <w:rsid w:val="00D00713"/>
    <w:rsid w:val="00D0136F"/>
    <w:rsid w:val="00D17FEC"/>
    <w:rsid w:val="00D2115B"/>
    <w:rsid w:val="00D2229B"/>
    <w:rsid w:val="00D27E8B"/>
    <w:rsid w:val="00D349FE"/>
    <w:rsid w:val="00D35A90"/>
    <w:rsid w:val="00D433E4"/>
    <w:rsid w:val="00D53644"/>
    <w:rsid w:val="00D5458B"/>
    <w:rsid w:val="00D63DF4"/>
    <w:rsid w:val="00D64B47"/>
    <w:rsid w:val="00D70226"/>
    <w:rsid w:val="00D711AB"/>
    <w:rsid w:val="00D727ED"/>
    <w:rsid w:val="00D72E01"/>
    <w:rsid w:val="00D7711A"/>
    <w:rsid w:val="00D818C8"/>
    <w:rsid w:val="00D81ED4"/>
    <w:rsid w:val="00D84452"/>
    <w:rsid w:val="00D937F3"/>
    <w:rsid w:val="00D95DCB"/>
    <w:rsid w:val="00DA52A4"/>
    <w:rsid w:val="00DB00E0"/>
    <w:rsid w:val="00DB71E2"/>
    <w:rsid w:val="00DB78BA"/>
    <w:rsid w:val="00DC3252"/>
    <w:rsid w:val="00DC41AA"/>
    <w:rsid w:val="00DD0270"/>
    <w:rsid w:val="00DD4930"/>
    <w:rsid w:val="00DE0B3D"/>
    <w:rsid w:val="00DE18F9"/>
    <w:rsid w:val="00E0065D"/>
    <w:rsid w:val="00E02B51"/>
    <w:rsid w:val="00E03BB8"/>
    <w:rsid w:val="00E10EE9"/>
    <w:rsid w:val="00E115BF"/>
    <w:rsid w:val="00E14A9D"/>
    <w:rsid w:val="00E14C65"/>
    <w:rsid w:val="00E231C4"/>
    <w:rsid w:val="00E27F19"/>
    <w:rsid w:val="00E41B63"/>
    <w:rsid w:val="00E464ED"/>
    <w:rsid w:val="00E51089"/>
    <w:rsid w:val="00E53F4B"/>
    <w:rsid w:val="00E577C3"/>
    <w:rsid w:val="00E62B82"/>
    <w:rsid w:val="00E65862"/>
    <w:rsid w:val="00E72B3B"/>
    <w:rsid w:val="00E77A7D"/>
    <w:rsid w:val="00E8306B"/>
    <w:rsid w:val="00E84EC8"/>
    <w:rsid w:val="00E90B60"/>
    <w:rsid w:val="00E93EAF"/>
    <w:rsid w:val="00EA2D1A"/>
    <w:rsid w:val="00EA43F2"/>
    <w:rsid w:val="00EA4DAE"/>
    <w:rsid w:val="00EA5999"/>
    <w:rsid w:val="00EA61EE"/>
    <w:rsid w:val="00EA6728"/>
    <w:rsid w:val="00EB12EF"/>
    <w:rsid w:val="00EB1D60"/>
    <w:rsid w:val="00EB56A3"/>
    <w:rsid w:val="00EE2DD4"/>
    <w:rsid w:val="00EE7D4A"/>
    <w:rsid w:val="00EF06CE"/>
    <w:rsid w:val="00EF1657"/>
    <w:rsid w:val="00EF3CFE"/>
    <w:rsid w:val="00EF7A73"/>
    <w:rsid w:val="00F00652"/>
    <w:rsid w:val="00F03377"/>
    <w:rsid w:val="00F051B9"/>
    <w:rsid w:val="00F17CC6"/>
    <w:rsid w:val="00F31CD7"/>
    <w:rsid w:val="00F324C7"/>
    <w:rsid w:val="00F351F4"/>
    <w:rsid w:val="00F40B69"/>
    <w:rsid w:val="00F507C6"/>
    <w:rsid w:val="00F56772"/>
    <w:rsid w:val="00F73618"/>
    <w:rsid w:val="00F73A14"/>
    <w:rsid w:val="00F73A9B"/>
    <w:rsid w:val="00F7476D"/>
    <w:rsid w:val="00F8008F"/>
    <w:rsid w:val="00F82657"/>
    <w:rsid w:val="00F86457"/>
    <w:rsid w:val="00F91ADB"/>
    <w:rsid w:val="00F96730"/>
    <w:rsid w:val="00FA1053"/>
    <w:rsid w:val="00FA23AF"/>
    <w:rsid w:val="00FA28A9"/>
    <w:rsid w:val="00FB0F92"/>
    <w:rsid w:val="00FB4032"/>
    <w:rsid w:val="00FB49AB"/>
    <w:rsid w:val="00FC1BED"/>
    <w:rsid w:val="00FC4DAD"/>
    <w:rsid w:val="00FC5620"/>
    <w:rsid w:val="00FD3912"/>
    <w:rsid w:val="00FE2D65"/>
    <w:rsid w:val="00FE6C7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C04"/>
  <w15:docId w15:val="{5F2F7CD7-132D-4FB0-B0F7-FD8EE487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371E"/>
  </w:style>
  <w:style w:type="paragraph" w:styleId="1">
    <w:name w:val="heading 1"/>
    <w:basedOn w:val="a"/>
    <w:next w:val="a"/>
    <w:link w:val="10"/>
    <w:uiPriority w:val="9"/>
    <w:qFormat/>
    <w:rsid w:val="00C13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7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7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7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7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7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7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7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6D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6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4567"/>
    <w:pPr>
      <w:ind w:left="720"/>
      <w:contextualSpacing/>
    </w:pPr>
  </w:style>
  <w:style w:type="paragraph" w:styleId="a7">
    <w:name w:val="No Spacing"/>
    <w:uiPriority w:val="1"/>
    <w:qFormat/>
    <w:rsid w:val="00C1371E"/>
    <w:pPr>
      <w:spacing w:after="0" w:line="240" w:lineRule="auto"/>
    </w:pPr>
  </w:style>
  <w:style w:type="character" w:styleId="a8">
    <w:name w:val="Hyperlink"/>
    <w:rsid w:val="00B64763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C13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C1371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Body Text Indent"/>
    <w:basedOn w:val="a"/>
    <w:link w:val="ac"/>
    <w:rsid w:val="00B64763"/>
    <w:pPr>
      <w:spacing w:after="0" w:line="240" w:lineRule="auto"/>
      <w:ind w:left="6480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647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C1371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1371E"/>
    <w:rPr>
      <w:color w:val="5A5A5A" w:themeColor="text1" w:themeTint="A5"/>
      <w:spacing w:val="15"/>
    </w:rPr>
  </w:style>
  <w:style w:type="paragraph" w:styleId="af">
    <w:name w:val="Normal (Web)"/>
    <w:basedOn w:val="a"/>
    <w:uiPriority w:val="99"/>
    <w:semiHidden/>
    <w:unhideWhenUsed/>
    <w:rsid w:val="002F2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F25C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F25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1371E"/>
    <w:rPr>
      <w:b/>
      <w:bCs/>
      <w:color w:val="auto"/>
    </w:rPr>
  </w:style>
  <w:style w:type="character" w:styleId="af1">
    <w:name w:val="annotation reference"/>
    <w:basedOn w:val="a0"/>
    <w:uiPriority w:val="99"/>
    <w:semiHidden/>
    <w:unhideWhenUsed/>
    <w:rsid w:val="00313C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3C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13CDA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3C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13CDA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5A56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basedOn w:val="a"/>
    <w:next w:val="a"/>
    <w:link w:val="af8"/>
    <w:rsid w:val="00C1371E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0"/>
      <w:lang w:eastAsia="ar-SA"/>
    </w:rPr>
  </w:style>
  <w:style w:type="character" w:customStyle="1" w:styleId="af8">
    <w:name w:val="Название Знак"/>
    <w:link w:val="af7"/>
    <w:rsid w:val="00C1371E"/>
    <w:rPr>
      <w:rFonts w:eastAsia="Times New Roman"/>
      <w:b/>
      <w:bCs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13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37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371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37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37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371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137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1371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1371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C137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a">
    <w:name w:val="Emphasis"/>
    <w:basedOn w:val="a0"/>
    <w:uiPriority w:val="20"/>
    <w:qFormat/>
    <w:rsid w:val="00C1371E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C1371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1371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C13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C1371E"/>
    <w:rPr>
      <w:i/>
      <w:iCs/>
      <w:color w:val="4472C4" w:themeColor="accent1"/>
    </w:rPr>
  </w:style>
  <w:style w:type="character" w:styleId="afd">
    <w:name w:val="Subtle Emphasis"/>
    <w:basedOn w:val="a0"/>
    <w:uiPriority w:val="19"/>
    <w:qFormat/>
    <w:rsid w:val="00C1371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C1371E"/>
    <w:rPr>
      <w:i/>
      <w:iCs/>
      <w:color w:val="4472C4" w:themeColor="accent1"/>
    </w:rPr>
  </w:style>
  <w:style w:type="character" w:styleId="aff">
    <w:name w:val="Subtle Reference"/>
    <w:basedOn w:val="a0"/>
    <w:uiPriority w:val="31"/>
    <w:qFormat/>
    <w:rsid w:val="00C1371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C1371E"/>
    <w:rPr>
      <w:b/>
      <w:bCs/>
      <w:smallCaps/>
      <w:color w:val="4472C4" w:themeColor="accent1"/>
      <w:spacing w:val="5"/>
    </w:rPr>
  </w:style>
  <w:style w:type="character" w:styleId="aff1">
    <w:name w:val="Book Title"/>
    <w:basedOn w:val="a0"/>
    <w:uiPriority w:val="33"/>
    <w:qFormat/>
    <w:rsid w:val="00C1371E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C137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82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05BD1"/>
            <w:bottom w:val="none" w:sz="0" w:space="0" w:color="auto"/>
            <w:right w:val="none" w:sz="0" w:space="0" w:color="auto"/>
          </w:divBdr>
          <w:divsChild>
            <w:div w:id="896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6809-EDE4-4A28-9C7E-D29551A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User</cp:lastModifiedBy>
  <cp:revision>4</cp:revision>
  <cp:lastPrinted>2022-09-07T06:29:00Z</cp:lastPrinted>
  <dcterms:created xsi:type="dcterms:W3CDTF">2022-09-07T11:46:00Z</dcterms:created>
  <dcterms:modified xsi:type="dcterms:W3CDTF">2022-09-14T05:45:00Z</dcterms:modified>
</cp:coreProperties>
</file>